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맑은 고딕" w:hAnsi="맑은 고딕" w:eastAsia="맑은 고딕"/>
          <w:b/>
          <w:i w:val="0"/>
          <w:color w:val="64748B"/>
          <w:sz w:val="17"/>
          <w:spacing w:val="60"/>
        </w:rPr>
        <w:t>STANDARD OPERATING PROCEDURE</w:t>
      </w:r>
    </w:p>
    <w:p>
      <w:pPr>
        <w:spacing w:after="120"/>
        <w:pBdr>
          <w:bottom w:val="single" w:sz="18" w:space="6" w:color="0A1F44"/>
        </w:pBdr>
      </w:pPr>
      <w:r>
        <w:rPr>
          <w:rFonts w:ascii="맑은 고딕" w:hAnsi="맑은 고딕" w:eastAsia="맑은 고딕"/>
          <w:b/>
          <w:i w:val="0"/>
          <w:color w:val="0A1F44"/>
          <w:sz w:val="40"/>
        </w:rPr>
        <w:t>문서관리 절차서 (Document Control Procedure)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문서번호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SOP-QMS-001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리비전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유효일자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(발효 결재일)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작성 / 검토 / 승인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(성명·서명·일자)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적용 조직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{회사명}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조정 안내(최소)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 — 본 절차서는 그대로 사용 가능하도록 작성되었습니다. `{회사명}`과 역할명(자사 직제)만 치환하고, 외부문서 확인 주기·문서 검토주기·기록 보존기간을 자사 기준으로 확정한 뒤 발효하십시오.</w:t>
            </w:r>
          </w:p>
        </w:tc>
      </w:tr>
    </w:tbl>
    <w:p>
      <w:pPr>
        <w:spacing w:after="40"/>
      </w:pPr>
    </w:p>
    <w:p>
      <w:pPr>
        <w:spacing w:before="40" w:after="40"/>
        <w:pBdr>
          <w:bottom w:val="single" w:sz="4" w:space="1" w:color="D6DBE3"/>
        </w:pBdr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1. 목적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본 절차서는 품질경영시스템(QMS) 문서의 작성·검토·승인·발번·발효·배포·회수·개정·주기검토·폐기 및 외부출처문서(법령·규격 포함)의 관리 방법과 책임을 규정한다. 목적은 사용 지점에서 항상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적절히 승인된 현행본만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사용되고, 모든 변경이 통제·추적되도록 하는 데 있다.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2. 적용범위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QMS를 구성하는 품질매뉴얼(QM)·절차서(SOP)·작업지침서(WI)·양식(FRM)과, 회사가 채택한 외부출처문서(법령·고시·규격 등)에 적용한다. 품질기록의 관리는 「기록관리 절차서(SOP-QMS-002)」에, 발효 문서의 정식 변경은 「변경관리 절차서(SOP-QMS-003)」에 따른다.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3. 용어의 정의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용어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정의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현행본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결재를 거쳐 현재 효력을 갖는 최신 승인본(상태: 시행).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초안(SAVED)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승인 전 편집 가능한 작성 상태.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결재중(PENDING)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상신되어 결재 진행 중인 상태. 편집 잠금.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시행(RELEASED)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승인되어 효력을 갖는 현행 상태. 수정 절대 금지.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폐기(OBSOLETE)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효력을 상실시킨 문서. 오인 사용 방지 식별 후 이력 보존.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장기보관(ARCHIVED)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활성 사용에서 제외하되 보존 대상으로 보관하는 상태.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리비전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문서 개정 차수. 신규는 A에서 시작하여 개정 시 A→B→C… 로 증가.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외부출처문서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회사가 작성하지 않았으나 QMS에 필요한 문서(법령·고시·규격 등).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4. 책임과 권한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역할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책임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작성자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초안 작성, 개정 사유·신구 대비 작성, 파일 형식 규칙 준수.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검토자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내용의 정확성·타 문서 정합성 검토.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승인자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발효 승인. 승인으로써 효력 발생.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문서관리 책임자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문서 마스터리스트 유지, 발번 규칙·배포·회수 관리, 외부문서·규정 최신판 관리, 폐기·보관 통제.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조정: 소규모 조직은 겸직 가능하나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작성자와 승인자는 분리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한다. 불가피한 겸직은 사유를 기록한다.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5. 관련 규정 및 참고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「의료기기 제조 및 품질관리 기준」(KGMP, 식약처 고시) — 문서·기록 관리 요구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ISO 13485:2016 — 4.2.4 문서관리, 4.2.5 기록관리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의료기기법 및 시행규칙 — 기록 보존 등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GDocP(올바른 문서·기록 작성·정정 원칙)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「기록관리 절차서(SOP-QMS-002) §6」 준용 — 문서 서명란·기입·정정에 동일 적용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사내: 기록관리 절차서(SOP-QMS-002), 변경관리 절차서(SOP-QMS-003)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6. 절차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6.1 문서 등급과 관리 기준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2353"/>
        <w:gridCol w:w="2353"/>
        <w:gridCol w:w="2353"/>
        <w:gridCol w:w="2353"/>
      </w:tblGrid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등급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코드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결재 단계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주기검토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품질매뉴얼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QM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3단계(작성·검토·승인)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12개월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절차서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3단계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12개월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작업지침서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WI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2단계(작성·승인)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12개월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양식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FRM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결재 없음(간이 발효)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해당 없음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결재 단계·검토주기는 회사 정책에 따라 조정할 수 있다(문서 유형별 설정).</w:t>
            </w:r>
          </w:p>
        </w:tc>
      </w:tr>
    </w:tbl>
    <w:p>
      <w:pPr>
        <w:spacing w:after="40"/>
      </w:pP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6.2 문서번호 부여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문서번호는 `[등급 접두어]-[영역]-[일련번호(3자리)]` 형식으로 유형별로 부여한다(예: `SOP-QMS-001`).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일련번호는 유형별로 연속 부여하며,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한 번 부여한 번호는 재사용하지 않는다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문서관리 책임자가 문서 마스터리스트(별첨 1)에서 번호의 유일성을 통제한다.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유형 선택 시 접두어+일련번호가 자동 발번되고 유일성이 시스템에서 보장된다. (§7)*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6.3 작성 및 초안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신규 문서는 초안(SAVED) 상태로 작성하며, 리비전은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A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에서 시작한다.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초안은 자유롭게 수정·삭제할 수 있다. 삭제는 초안 상태에서만 허용한다.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6.4 검토 및 승인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작성 완료된 초안은 결재에 상신한다. 결재선은 6.1의 등급별 단계에 따라 검토자→승인자 순으로 구성한다.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각 결재 단계는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성명·서명(전자서명)·일자·서명 의미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와 함께 기록한다. 앞 단계 완료 전 다음 단계는 진행하지 않는다.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결재는 위계로 동작한다 — 승인자는 검토·작성도, 검토자는 작성도 수행할 수 있다.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반려 시 상신자가 보완 후 재상신한다.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상신 시 문서가 결재중(PENDING)으로 자동 잠기며, 전자결재·전자서명으로 기록된다. (§7)*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6.5 발효와 현행본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승인 완료 시점(또는 지정한 시행일)부터 문서는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시행(RELEASED)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상태가 되어 효력을 갖는다. 승인 전 문서를 실제 업무에 사용해서는 안 된다. 시행·결재중·폐기 상태의 문서는 직접 수정·삭제할 수 없다.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6.6 배포 및 회수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문서관리 책임자는 승인된 현행본을 사용 지점에 배포하고,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배포 대상·버전·일자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를 문서 배포·회수 대장(별첨 2)에 기록한다.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개정본 발효 시 이전 현행본은 사용 지점에서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회수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하거나 폐기 식별하고, 회수 사실을 기록한다.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사용 지점에는 항상 현행본만 비치한다.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시스템 사용자는 접근 권한으로 항상 현행본을 열람하므로 물리적 배포·회수가 불필요하다. 다만 인쇄본을 현장에 비치·게시하는 경우(작업장 게시 등)에는 본 항의 배포·회수 대장을 수기로 유지한다. (§7)*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6.7 개정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발효 문서의 내용 변경은 개정으로 처리하며, 리비전을 다음 단계로 올린다(A→B→…).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개정 시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변경 사유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신구 대비(redline)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를 첨부한다. 신구 대비는 개정 전·후 차이를 표시한 문서이며, 개정 상신 시 1건 이상 필수이다.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개정본은 6.4의 검토·승인을 다시 거친다. 개정본 발효와 동시에 이전 리비전은 폐기 처리한다.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발효 문서의 정식 신규·개정·폐기는 「변경관리 절차서(SOP-QMS-003)」의 통제(QCN)를 따른다.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[이 문서로 변경 신청]으로 개정 QCN을 시작하며, redline 첨부(파일명에 'redline' 포함) 없이는 상신이 차단된다. 개정 발효 시 이전 현행본이 자동으로 폐기된다. (§7)*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6.8 주기 검토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시행 문서는 정해진 주기(기본 12개월, 유형·문서별 조정 가능)마다 유효성을 검토한다.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계속 유효하면 다음 검토일을 갱신(연장)하고 그 사실을 기록한다.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더 이상 유효하지 않으면 폐기를 결정하며, 폐기는 변경관리(QCN)의 폐기 절차로 처리한다.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검토 도래 문서가 목록에 표시되고, 연장 처리 이력이 남으며, 폐기 결정은 QCN 폐기 라인으로 이관된다. (§7)*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6.9 폐기 및 보관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효력을 상실한 문서는 사용 지점에서 제거한다.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참고·법적 목적으로 폐기본을 보존하는 경우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"폐기(OBSOLETE)"임을 명확히 식별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하여 현행본과 혼동되지 않게 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폐기본·구 리비전은 지정 보존기간 동안 이력으로 보존하며 임의 삭제하지 않는다(보존기간은 「기록관리 절차서」에 따른다).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폐기 문서는 폐기 상태로 식별되고 이력으로 보존된다. 외부 공유 사본에는 워터마크가 표시된다. (§7)*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6.10 파일 형식 및 시행본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문서 원본은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PDF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로 관리한다. HWP/HWPX 등 편집 원본은 그대로 통제 문서로 올리지 않으며 PDF로 변환하여 등록한다.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시행본에는 전자서명(승인) 정보가 포함되어야 하며, 외부 제공 시에는 사본임을 나타내는 표시(워터마크)를 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시행본 PDF에 전자서명 페이지가 자동 부착되고, 외부공유용 사본은 워터마크가 표시된다. (§7)*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6.11 외부출처문서 및 규정(법령·고시·규격) 관리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외부출처문서는 회사가 통제하지 못하는 발행기관이 개정하므로,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최신 유효판 추적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이 핵심이다.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식별·등록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채택한 법령·고시·규격을 외부출처문서 관리대장(별첨 3)에 등록한다. 대상 예: 의료기기법·시행규칙, 「의료기기 제조 및 품질관리 기준」(KGMP), 적용 규격(예: ISO 13485, ISO 14971 등), 해당 품목 기준규격.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현행판 관리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각 문서의 현행 판(개정일·고시번호)을 대장에 기록한다.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최신판 확인(규정)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법령·고시는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국가법령정보센터(law.go.kr)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·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식약처(mfds.go.kr)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에서, 규격은 발행처에서 정해진 주기(예: 분기 1회)마다 개정 여부를 확인하고 확인일을 대장에 기록한다. 개정 확인 시 신규 판을 입수·등록하고 구판은 폐기 식별하여 보존한다.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영향 검토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규정 개정이 사내 문서·프로세스에 영향을 주면 변경관리(QCN)로 사내 문서를 개정한다.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배포 통제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외부문서도 사용 지점에 현행판만 제공한다.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KGMP 등 일부 규제 정보는 시스템의 규제 조회로 확인을 보조할 수 있으나, 채택 규격·법령의 최신판 추적과 대장 기록은 원칙적으로 담당자가 수행한다. (§7)*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6.12 전자문서·전자서명·감사추적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전자문서의 승인은 누가·언제·어떤 의미로 서명했는지 기록되어야 하며, 발효 후 임의 수정될 수 없어야 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모든 문서의 생성·개정·폐기 이력은 변경 불가한 방식으로 추적되어야 한다(감사추적).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7. 시스템 자동 처리와 수작업 구분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본 절차의 통제 요건은 실록 사용 시 상당수가 자동 강제된다. 시스템을 사용하지 않거나 시스템 밖 활동(인쇄본 현장 게시, 외부규격 추적 등)은 아래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수작업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열의 방법으로 수행한다.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3137"/>
        <w:gridCol w:w="3137"/>
        <w:gridCol w:w="3137"/>
      </w:tblGrid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요건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실록 사용 시(자동)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시스템 미사용/시스템 밖(수작업)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발번·유일성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유형 선택 시 자동 발번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별첨 1 마스터리스트로 수기 채번·중복 확인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현행본 식별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상태(시행)로 자동 식별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마스터리스트 현행 리비전 열로 관리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결재·서명·잠금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전자결재·전자서명, 결재중/시행 자동 잠금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결재란 수기 서명·일자, 시행본 별도 보관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개정 신구대비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redline 첨부 강제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신구 대비표 수기 작성·첨부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이전본 폐기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개정 발효 시 자동 폐기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별첨 2 대장으로 회수·폐기 표기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배포·회수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접근 권한으로 현행본 열람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인쇄본은 별첨 2 배포·회수 대장 유지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주기검토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도래 문서 목록·연장 이력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마스터리스트 차기검토일 열로 추적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외부규정 최신판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규제 조회 보조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별첨 3 대장 + 주기적 law.go.kr/mfds.go.kr 확인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감사추적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전 이력 자동·변경불가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문서 이력란·대장으로 수기 기록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8. 기록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문서 마스터리스트(별첨 1)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문서 배포·회수 대장(별첨 2)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외부출처문서·규정 관리대장(별첨 3)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문서 제·개정·폐기 신청서(별첨 4) 및 결재 기록, 신구 대비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9. 별첨(양식)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별첨 1 — 문서 마스터리스트 (FRM-QMS-002)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문서번호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문서명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등급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현행 리비전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상태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시행일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차기 검토일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담당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비고</w:t>
            </w:r>
          </w:p>
        </w:tc>
      </w:tr>
      <w:tr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SOP-QMS-001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문서관리 절차서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시행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spacing w:after="40"/>
      </w:pP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별첨 2 — 문서 배포·회수 대장 (FRM-QMS-003)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1176"/>
        <w:gridCol w:w="1176"/>
        <w:gridCol w:w="1176"/>
        <w:gridCol w:w="1176"/>
        <w:gridCol w:w="1176"/>
        <w:gridCol w:w="1176"/>
        <w:gridCol w:w="1176"/>
        <w:gridCol w:w="1176"/>
      </w:tblGrid>
      <w:tr>
        <w:tc>
          <w:tcPr>
            <w:tcW w:type="dxa" w:w="117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문서번호</w:t>
            </w:r>
          </w:p>
        </w:tc>
        <w:tc>
          <w:tcPr>
            <w:tcW w:type="dxa" w:w="117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리비전</w:t>
            </w:r>
          </w:p>
        </w:tc>
        <w:tc>
          <w:tcPr>
            <w:tcW w:type="dxa" w:w="117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배포처(사용지점)</w:t>
            </w:r>
          </w:p>
        </w:tc>
        <w:tc>
          <w:tcPr>
            <w:tcW w:type="dxa" w:w="117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배포일</w:t>
            </w:r>
          </w:p>
        </w:tc>
        <w:tc>
          <w:tcPr>
            <w:tcW w:type="dxa" w:w="117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배포 부수</w:t>
            </w:r>
          </w:p>
        </w:tc>
        <w:tc>
          <w:tcPr>
            <w:tcW w:type="dxa" w:w="117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회수일</w:t>
            </w:r>
          </w:p>
        </w:tc>
        <w:tc>
          <w:tcPr>
            <w:tcW w:type="dxa" w:w="117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회수/폐기 확인</w:t>
            </w:r>
          </w:p>
        </w:tc>
        <w:tc>
          <w:tcPr>
            <w:tcW w:type="dxa" w:w="117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담당</w:t>
            </w:r>
          </w:p>
        </w:tc>
      </w:tr>
    </w:tbl>
    <w:p>
      <w:pPr>
        <w:spacing w:after="40"/>
      </w:pP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별첨 3 — 외부출처문서·규정 관리대장 (FRM-QMS-008)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구분(법령/고시/규격)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문서·규정명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발행기관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문서/고시번호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현행판(개정일)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입수처(URL)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최신판 확인일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확인주기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담당</w:t>
            </w:r>
          </w:p>
        </w:tc>
      </w:tr>
      <w:tr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고시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의료기기 제조 및 품질관리 기준(KGMP)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식약처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law.go.kr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분기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법률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의료기기법·시행규칙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식약처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law.go.kr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분기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규격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(예: ISO 13485)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(발행처)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연 1회</w:t>
            </w:r>
          </w:p>
        </w:tc>
        <w:tc>
          <w:tcPr>
            <w:tcW w:type="dxa" w:w="104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spacing w:after="40"/>
      </w:pP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별첨 4 — 문서 제·개정·폐기 신청서 (FRM-QMS-001)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항목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내용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신청 구분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□ 신규  □ 개정  □ 폐기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대상 문서번호 / 명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(개정 시) 변경 사유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(개정 시) 신구 대비 첨부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□ 첨부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시행(희망)일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작성 / 검토 / 승인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(성명·서명·일자)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10. 개정 이력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1882"/>
        <w:gridCol w:w="1882"/>
        <w:gridCol w:w="1882"/>
        <w:gridCol w:w="1882"/>
        <w:gridCol w:w="1882"/>
      </w:tblGrid>
      <w:tr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리비전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일자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변경 내용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작성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승인</w:t>
            </w:r>
          </w:p>
        </w:tc>
      </w:tr>
      <w:tr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(발효일)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최초 제정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spacing w:after="40"/>
      </w:pPr>
    </w:p>
    <w:p>
      <w:pPr>
        <w:spacing w:before="40" w:after="40"/>
        <w:pBdr>
          <w:bottom w:val="single" w:sz="4" w:space="1" w:color="D6DBE3"/>
        </w:pBdr>
      </w:pPr>
    </w:p>
    <w:p>
      <w:r>
        <w:rPr>
          <w:rFonts w:ascii="맑은 고딕" w:hAnsi="맑은 고딕" w:eastAsia="맑은 고딕"/>
          <w:b w:val="0"/>
          <w:i/>
          <w:color w:val="64748B"/>
          <w:sz w:val="19"/>
        </w:rPr>
        <w:t>본 절차서는 즉시 사용 가능하도록 구성되었습니다. 문서관리는 발번·현행본 식별·배포·개정·폐기·주기검토가 하나의 통제된 흐름으로 이어지고, 외부규정의 최신판까지 추적될 때 비로소 완결됩니다.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  <w:pBdr>
        <w:top w:val="single" w:sz="4" w:space="3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SOP-QMS-001    ·    Rev. A    ·    </w:t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Page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PAGE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 of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NUMPAGES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right"/>
      <w:pBdr>
        <w:bottom w:val="single" w:sz="4" w:space="2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>문서관리 절차서 (Document Control Procedure)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맑은 고딕" w:hAnsi="맑은 고딕" w:eastAsia="맑은 고딕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