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rFonts w:ascii="맑은 고딕" w:hAnsi="맑은 고딕" w:eastAsia="맑은 고딕"/>
          <w:b/>
          <w:i w:val="0"/>
          <w:color w:val="64748B"/>
          <w:sz w:val="17"/>
          <w:spacing w:val="60"/>
        </w:rPr>
        <w:t>STANDARD OPERATING PROCEDURE</w:t>
      </w:r>
    </w:p>
    <w:p>
      <w:pPr>
        <w:spacing w:after="120"/>
        <w:pBdr>
          <w:bottom w:val="single" w:sz="18" w:space="6" w:color="0A1F44"/>
        </w:pBdr>
      </w:pPr>
      <w:r>
        <w:rPr>
          <w:rFonts w:ascii="맑은 고딕" w:hAnsi="맑은 고딕" w:eastAsia="맑은 고딕"/>
          <w:b/>
          <w:i w:val="0"/>
          <w:color w:val="0A1F44"/>
          <w:sz w:val="40"/>
        </w:rPr>
        <w:t>문서관리 절차서 (Document Control Procedure)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6DBE3"/>
          <w:left w:val="single" w:sz="4" w:color="D6DBE3"/>
          <w:bottom w:val="single" w:sz="4" w:color="D6DBE3"/>
          <w:right w:val="single" w:sz="4" w:color="D6DBE3"/>
          <w:insideH w:val="single" w:sz="4" w:color="D6DBE3"/>
          <w:insideV w:val="single" w:sz="4" w:color="D6DBE3"/>
        </w:tblBorders>
      </w:tblPr>
      <w:tblGrid>
        <w:gridCol w:w="4706"/>
        <w:gridCol w:w="4706"/>
      </w:tblGrid>
      <w:tr>
        <w:tc>
          <w:tcPr>
            <w:tcW w:type="dxa" w:w="2608"/>
            <w:shd w:val="clear" w:fill="EAEEF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0A1F44"/>
                <w:sz w:val="18"/>
              </w:rPr>
              <w:t>문서번호</w:t>
            </w:r>
          </w:p>
        </w:tc>
        <w:tc>
          <w:tcPr>
            <w:tcW w:type="dxa" w:w="680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SOP-QMS-001</w:t>
            </w:r>
          </w:p>
        </w:tc>
      </w:tr>
      <w:tr>
        <w:tc>
          <w:tcPr>
            <w:tcW w:type="dxa" w:w="2608"/>
            <w:shd w:val="clear" w:fill="EAEEF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0A1F44"/>
                <w:sz w:val="18"/>
              </w:rPr>
              <w:t>리비전</w:t>
            </w:r>
          </w:p>
        </w:tc>
        <w:tc>
          <w:tcPr>
            <w:tcW w:type="dxa" w:w="680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A</w:t>
            </w:r>
          </w:p>
        </w:tc>
      </w:tr>
      <w:tr>
        <w:tc>
          <w:tcPr>
            <w:tcW w:type="dxa" w:w="2608"/>
            <w:shd w:val="clear" w:fill="EAEEF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0A1F44"/>
                <w:sz w:val="18"/>
              </w:rPr>
              <w:t>유효일자</w:t>
            </w:r>
          </w:p>
        </w:tc>
        <w:tc>
          <w:tcPr>
            <w:tcW w:type="dxa" w:w="680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(발효 결재일)</w:t>
            </w:r>
          </w:p>
        </w:tc>
      </w:tr>
      <w:tr>
        <w:tc>
          <w:tcPr>
            <w:tcW w:type="dxa" w:w="2608"/>
            <w:shd w:val="clear" w:fill="EAEEF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0A1F44"/>
                <w:sz w:val="18"/>
              </w:rPr>
              <w:t>작성 / 검토 / 승인</w:t>
            </w:r>
          </w:p>
        </w:tc>
        <w:tc>
          <w:tcPr>
            <w:tcW w:type="dxa" w:w="680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(성명·서명·일자)</w:t>
            </w:r>
          </w:p>
        </w:tc>
      </w:tr>
      <w:tr>
        <w:tc>
          <w:tcPr>
            <w:tcW w:type="dxa" w:w="2608"/>
            <w:shd w:val="clear" w:fill="EAEEF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0A1F44"/>
                <w:sz w:val="18"/>
              </w:rPr>
              <w:t>적용 조직</w:t>
            </w:r>
          </w:p>
        </w:tc>
        <w:tc>
          <w:tcPr>
            <w:tcW w:type="dxa" w:w="680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{회사명}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fill="F2F5FA"/>
            <w:tcBorders>
              <w:left w:val="single" w:sz="18" w:space="0" w:color="0A1F44"/>
            </w:tcBorders>
            <w:tcMar>
              <w:top w:w="80" w:type="dxa"/>
              <w:bottom w:w="80" w:type="dxa"/>
              <w:start w:w="140" w:type="dxa"/>
              <w:end w:w="120" w:type="dxa"/>
            </w:tcMar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/>
                <w:color w:val="0A1F44"/>
                <w:sz w:val="19"/>
              </w:rPr>
              <w:t>조정 안내(최소)</w:t>
            </w:r>
            <w:r>
              <w:rPr>
                <w:rFonts w:ascii="맑은 고딕" w:hAnsi="맑은 고딕" w:eastAsia="맑은 고딕"/>
                <w:b w:val="0"/>
                <w:i/>
                <w:color w:val="334155"/>
                <w:sz w:val="19"/>
              </w:rPr>
              <w:t xml:space="preserve"> — 본 절차서는 그대로 사용 가능하도록 작성되었습니다. `{회사명}`과 역할명(자사 직제)만 치환하고, 외부문서 확인 주기·문서 검토주기·기록 보존기간을 자사 기준으로 확정한 뒤 발효하십시오.</w:t>
            </w:r>
          </w:p>
        </w:tc>
      </w:tr>
    </w:tbl>
    <w:p>
      <w:pPr>
        <w:spacing w:after="40"/>
      </w:pPr>
    </w:p>
    <w:p>
      <w:pPr>
        <w:spacing w:before="40" w:after="40"/>
        <w:pBdr>
          <w:bottom w:val="single" w:sz="4" w:space="1" w:color="D6DBE3"/>
        </w:pBdr>
      </w:pP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1. 목적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본 절차서는 품질경영시스템(QMS) 문서의 작성·검토·승인·발번·발효·배포·회수·개정·주기검토·폐기 및 외부출처문서(법령·규격 포함)의 관리 방법과 책임을 규정한다. 목적은 사용 지점에서 항상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적절히 승인된 현행본만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사용되고, 모든 변경이 통제·추적되도록 하는 데 있다.</w:t>
      </w: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2. 적용범위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>QMS를 구성하는 품질매뉴얼(QM)·절차서(SOP)·작업지침서(WI)·양식(FRM)과, 회사가 채택한 외부출처문서(법령·고시·규격 등)에 적용한다. 품질기록의 관리는 「기록관리 절차서(SOP-QMS-002)」에, 발효 문서의 정식 변경은 「변경관리 절차서(SOP-QMS-003)」에 따른다.</w:t>
      </w: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3. 용어의 정의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6DBE3"/>
          <w:left w:val="single" w:sz="4" w:color="D6DBE3"/>
          <w:bottom w:val="single" w:sz="4" w:color="D6DBE3"/>
          <w:right w:val="single" w:sz="4" w:color="D6DBE3"/>
          <w:insideH w:val="single" w:sz="4" w:color="D6DBE3"/>
          <w:insideV w:val="single" w:sz="4" w:color="D6DBE3"/>
        </w:tblBorders>
      </w:tblPr>
      <w:tblGrid>
        <w:gridCol w:w="4706"/>
        <w:gridCol w:w="4706"/>
      </w:tblGrid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용어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정의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현행본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결재를 거쳐 현재 효력을 갖는 최신 승인본(상태: 시행).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초안(SAVED)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승인 전 편집 가능한 작성 상태.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결재중(PENDING)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상신되어 결재 진행 중인 상태. 편집 잠금.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시행(RELEASED)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승인되어 효력을 갖는 현행 상태. 수정 절대 금지.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폐기(OBSOLETE)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효력을 상실시킨 문서. 오인 사용 방지 식별 후 이력 보존.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장기보관(ARCHIVED)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활성 사용에서 제외하되 보존 대상으로 보관하는 상태.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리비전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문서 개정 차수. 신규는 A에서 시작하여 개정 시 A→B→C… 로 증가.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외부출처문서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회사가 작성하지 않았으나 QMS에 필요한 문서(법령·고시·규격 등).</w:t>
            </w:r>
          </w:p>
        </w:tc>
      </w:tr>
    </w:tbl>
    <w:p>
      <w:pPr>
        <w:spacing w:after="40"/>
      </w:pP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4. 책임과 권한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6DBE3"/>
          <w:left w:val="single" w:sz="4" w:color="D6DBE3"/>
          <w:bottom w:val="single" w:sz="4" w:color="D6DBE3"/>
          <w:right w:val="single" w:sz="4" w:color="D6DBE3"/>
          <w:insideH w:val="single" w:sz="4" w:color="D6DBE3"/>
          <w:insideV w:val="single" w:sz="4" w:color="D6DBE3"/>
        </w:tblBorders>
      </w:tblPr>
      <w:tblGrid>
        <w:gridCol w:w="4706"/>
        <w:gridCol w:w="4706"/>
      </w:tblGrid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역할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책임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작성자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초안 작성, 개정 사유·신구 대비 작성, 파일 형식 규칙 준수.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검토자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내용의 정확성·타 문서 정합성 검토.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승인자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발효 승인. 승인으로써 효력 발생.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문서관리 책임자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문서 마스터리스트 유지, 발번 규칙·배포·회수 관리, 외부문서·규정 최신판 관리, 폐기·보관 통제.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fill="F2F5FA"/>
            <w:tcBorders>
              <w:left w:val="single" w:sz="18" w:space="0" w:color="0A1F44"/>
            </w:tcBorders>
            <w:tcMar>
              <w:top w:w="80" w:type="dxa"/>
              <w:bottom w:w="80" w:type="dxa"/>
              <w:start w:w="140" w:type="dxa"/>
              <w:end w:w="120" w:type="dxa"/>
            </w:tcMar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/>
                <w:color w:val="334155"/>
                <w:sz w:val="19"/>
              </w:rPr>
              <w:t xml:space="preserve">조정: 소규모 조직은 겸직 가능하나 </w:t>
            </w:r>
            <w:r>
              <w:rPr>
                <w:rFonts w:ascii="맑은 고딕" w:hAnsi="맑은 고딕" w:eastAsia="맑은 고딕"/>
                <w:b/>
                <w:i/>
                <w:color w:val="0A1F44"/>
                <w:sz w:val="19"/>
              </w:rPr>
              <w:t>작성자와 승인자는 분리</w:t>
            </w:r>
            <w:r>
              <w:rPr>
                <w:rFonts w:ascii="맑은 고딕" w:hAnsi="맑은 고딕" w:eastAsia="맑은 고딕"/>
                <w:b w:val="0"/>
                <w:i/>
                <w:color w:val="334155"/>
                <w:sz w:val="19"/>
              </w:rPr>
              <w:t>한다. 불가피한 겸직은 사유를 기록한다.</w:t>
            </w:r>
          </w:p>
        </w:tc>
      </w:tr>
    </w:tbl>
    <w:p>
      <w:pPr>
        <w:spacing w:after="40"/>
      </w:pP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5. 관련 규정 및 참고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「의료기기 제조 및 품질관리 기준」(KGMP, 식약처 고시) — 문서·기록 관리 요구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ISO 13485:2016 — 4.2.4 문서관리, 4.2.5 기록관리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의료기기법 및 시행규칙 — 기록 보존 등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GDocP(올바른 문서·기록 작성·정정 원칙)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: 「기록관리 절차서(SOP-QMS-002) §6」 준용 — 문서 서명란·기입·정정에 동일 적용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사내: 기록관리 절차서(SOP-QMS-002), 변경관리 절차서(SOP-QMS-003)</w:t>
      </w: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6. 절차</w:t>
      </w: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6.1 문서 등급과 관리 기준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6DBE3"/>
          <w:left w:val="single" w:sz="4" w:color="D6DBE3"/>
          <w:bottom w:val="single" w:sz="4" w:color="D6DBE3"/>
          <w:right w:val="single" w:sz="4" w:color="D6DBE3"/>
          <w:insideH w:val="single" w:sz="4" w:color="D6DBE3"/>
          <w:insideV w:val="single" w:sz="4" w:color="D6DBE3"/>
        </w:tblBorders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등급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코드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결재 단계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주기검토</w:t>
            </w:r>
          </w:p>
        </w:tc>
      </w:tr>
      <w:tr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품질매뉴얼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QM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3단계(작성·검토·승인)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12개월</w:t>
            </w:r>
          </w:p>
        </w:tc>
      </w:tr>
      <w:tr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절차서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SOP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3단계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12개월</w:t>
            </w:r>
          </w:p>
        </w:tc>
      </w:tr>
      <w:tr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작업지침서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WI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2단계(작성·승인)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12개월</w:t>
            </w:r>
          </w:p>
        </w:tc>
      </w:tr>
      <w:tr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양식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FRM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결재 없음(간이 발효)</w:t>
            </w:r>
          </w:p>
        </w:tc>
        <w:tc>
          <w:tcPr>
            <w:tcW w:type="dxa" w:w="235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해당 없음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fill="F2F5FA"/>
            <w:tcBorders>
              <w:left w:val="single" w:sz="18" w:space="0" w:color="0A1F44"/>
            </w:tcBorders>
            <w:tcMar>
              <w:top w:w="80" w:type="dxa"/>
              <w:bottom w:w="80" w:type="dxa"/>
              <w:start w:w="140" w:type="dxa"/>
              <w:end w:w="120" w:type="dxa"/>
            </w:tcMar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/>
                <w:color w:val="334155"/>
                <w:sz w:val="19"/>
              </w:rPr>
              <w:t>결재 단계·검토주기는 회사 정책에 따라 조정할 수 있다(문서 유형별 설정).</w:t>
            </w:r>
          </w:p>
        </w:tc>
      </w:tr>
    </w:tbl>
    <w:p>
      <w:pPr>
        <w:spacing w:after="40"/>
      </w:pP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6.2 문서번호 부여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문서번호는 `[등급 접두어]-[영역]-[일련번호(3자리)]` 형식으로 유형별로 부여한다(예: `SOP-QMS-001`).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일련번호는 유형별로 연속 부여하며,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한 번 부여한 번호는 재사용하지 않는다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문서관리 책임자가 문서 마스터리스트(별첨 1)에서 번호의 유일성을 통제한다.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*실록: 유형 선택 시 접두어+일련번호가 자동 발번되고 유일성이 시스템에서 보장된다. (§7)*</w:t>
      </w: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6.3 작성 및 초안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신규 문서는 초안(SAVED) 상태로 작성하며, 리비전은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A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에서 시작한다.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초안은 자유롭게 수정·삭제할 수 있다. 삭제는 초안 상태에서만 허용한다.</w:t>
      </w: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6.4 검토 및 승인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작성 완료된 초안은 결재에 상신한다. 결재선은 6.1의 등급별 단계에 따라 검토자→승인자 순으로 구성한다.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각 결재 단계는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성명·서명(전자서명)·일자·서명 의미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와 함께 기록한다. 앞 단계 완료 전 다음 단계는 진행하지 않는다.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결재는 위계로 동작한다 — 승인자는 검토·작성도, 검토자는 작성도 수행할 수 있다.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반려 시 상신자가 보완 후 재상신한다.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*실록: 상신 시 문서가 결재중(PENDING)으로 자동 잠기며, 전자결재·전자서명으로 기록된다. (§7)*</w:t>
      </w: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6.5 발효와 현행본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승인 완료 시점(또는 지정한 시행일)부터 문서는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시행(RELEASED)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상태가 되어 효력을 갖는다. 승인 전 문서를 실제 업무에 사용해서는 안 된다. 시행·결재중·폐기 상태의 문서는 직접 수정·삭제할 수 없다.</w:t>
      </w: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6.6 배포 및 회수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문서관리 책임자는 승인된 현행본을 사용 지점에 배포하고,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배포 대상·버전·일자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를 문서 배포·회수 대장(별첨 2)에 기록한다.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개정본 발효 시 이전 현행본은 사용 지점에서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회수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하거나 폐기 식별하고, 회수 사실을 기록한다.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사용 지점에는 항상 현행본만 비치한다.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*실록: 시스템 사용자는 접근 권한으로 항상 현행본을 열람하므로 물리적 배포·회수가 불필요하다. 다만 인쇄본을 현장에 비치·게시하는 경우(작업장 게시 등)에는 본 항의 배포·회수 대장을 수기로 유지한다. (§7)*</w:t>
      </w: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6.7 개정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발효 문서의 내용 변경은 개정으로 처리하며, 리비전을 다음 단계로 올린다(A→B→…).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개정 시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변경 사유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와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신구 대비(redline)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를 첨부한다. 신구 대비는 개정 전·후 차이를 표시한 문서이며, 개정 상신 시 1건 이상 필수이다.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개정본은 6.4의 검토·승인을 다시 거친다. 개정본 발효와 동시에 이전 리비전은 폐기 처리한다.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발효 문서의 정식 신규·개정·폐기는 「변경관리 절차서(SOP-QMS-003)」의 통제(QCN)를 따른다.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*실록: [이 문서로 변경 신청]으로 개정 QCN을 시작하며, redline 첨부(파일명에 'redline' 포함) 없이는 상신이 차단된다. 개정 발효 시 이전 현행본이 자동으로 폐기된다. (§7)*</w:t>
      </w: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6.8 주기 검토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시행 문서는 정해진 주기(기본 12개월, 유형·문서별 조정 가능)마다 유효성을 검토한다.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계속 유효하면 다음 검토일을 갱신(연장)하고 그 사실을 기록한다.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더 이상 유효하지 않으면 폐기를 결정하며, 폐기는 변경관리(QCN)의 폐기 절차로 처리한다.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*실록: 검토 도래 문서가 목록에 표시되고, 연장 처리 이력이 남으며, 폐기 결정은 QCN 폐기 라인으로 이관된다. (§7)*</w:t>
      </w: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6.9 폐기 및 보관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효력을 상실한 문서는 사용 지점에서 제거한다.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참고·법적 목적으로 폐기본을 보존하는 경우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"폐기(OBSOLETE)"임을 명확히 식별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하여 현행본과 혼동되지 않게 한다.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폐기본·구 리비전은 지정 보존기간 동안 이력으로 보존하며 임의 삭제하지 않는다(보존기간은 「기록관리 절차서」에 따른다).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*실록: 폐기 문서는 폐기 상태로 식별되고 이력으로 보존된다. 외부 공유 사본에는 워터마크가 표시된다. (§7)*</w:t>
      </w: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6.10 파일 형식 및 시행본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문서 원본은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PDF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로 관리한다. HWP/HWPX 등 편집 원본은 그대로 통제 문서로 올리지 않으며 PDF로 변환하여 등록한다.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시행본에는 전자서명(승인) 정보가 포함되어야 하며, 외부 제공 시에는 사본임을 나타내는 표시(워터마크)를 한다.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*실록: 시행본 PDF에 전자서명 페이지가 자동 부착되고, 외부공유용 사본은 워터마크가 표시된다. (§7)*</w:t>
      </w: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6.11 외부출처문서 및 규정(법령·고시·규격) 관리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외부출처문서는 회사가 통제하지 못하는 발행기관이 개정하므로,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최신 유효판 추적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이 핵심이다.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식별·등록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— 채택한 법령·고시·규격을 외부출처문서 관리대장(별첨 3)에 등록한다. 대상 예: 의료기기법·시행규칙, 「의료기기 제조 및 품질관리 기준」(KGMP), 적용 규격(예: ISO 13485, ISO 14971 등), 해당 품목 기준규격.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현행판 관리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— 각 문서의 현행 판(개정일·고시번호)을 대장에 기록한다.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최신판 확인(규정)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— 법령·고시는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국가법령정보센터(law.go.kr)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·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식약처(mfds.go.kr)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에서, 규격은 발행처에서 정해진 주기(예: 분기 1회)마다 개정 여부를 확인하고 확인일을 대장에 기록한다. 개정 확인 시 신규 판을 입수·등록하고 구판은 폐기 식별하여 보존한다.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영향 검토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— 규정 개정이 사내 문서·프로세스에 영향을 주면 변경관리(QCN)로 사내 문서를 개정한다.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배포 통제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— 외부문서도 사용 지점에 현행판만 제공한다.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*실록: KGMP 등 일부 규제 정보는 시스템의 규제 조회로 확인을 보조할 수 있으나, 채택 규격·법령의 최신판 추적과 대장 기록은 원칙적으로 담당자가 수행한다. (§7)*</w:t>
      </w: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6.12 전자문서·전자서명·감사추적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전자문서의 승인은 누가·언제·어떤 의미로 서명했는지 기록되어야 하며, 발효 후 임의 수정될 수 없어야 한다.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모든 문서의 생성·개정·폐기 이력은 변경 불가한 방식으로 추적되어야 한다(감사추적).</w:t>
      </w: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7. 시스템 자동 처리와 수작업 구분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본 절차의 통제 요건은 실록 사용 시 상당수가 자동 강제된다. 시스템을 사용하지 않거나 시스템 밖 활동(인쇄본 현장 게시, 외부규격 추적 등)은 아래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수작업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열의 방법으로 수행한다.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6DBE3"/>
          <w:left w:val="single" w:sz="4" w:color="D6DBE3"/>
          <w:bottom w:val="single" w:sz="4" w:color="D6DBE3"/>
          <w:right w:val="single" w:sz="4" w:color="D6DBE3"/>
          <w:insideH w:val="single" w:sz="4" w:color="D6DBE3"/>
          <w:insideV w:val="single" w:sz="4" w:color="D6DBE3"/>
        </w:tblBorders>
      </w:tblPr>
      <w:tblGrid>
        <w:gridCol w:w="3137"/>
        <w:gridCol w:w="3137"/>
        <w:gridCol w:w="3137"/>
      </w:tblGrid>
      <w:tr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요건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실록 사용 시(자동)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시스템 미사용/시스템 밖(수작업)</w:t>
            </w:r>
          </w:p>
        </w:tc>
      </w:tr>
      <w:tr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발번·유일성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유형 선택 시 자동 발번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별첨 1 마스터리스트로 수기 채번·중복 확인</w:t>
            </w:r>
          </w:p>
        </w:tc>
      </w:tr>
      <w:tr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현행본 식별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상태(시행)로 자동 식별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마스터리스트 현행 리비전 열로 관리</w:t>
            </w:r>
          </w:p>
        </w:tc>
      </w:tr>
      <w:tr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결재·서명·잠금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전자결재·전자서명, 결재중/시행 자동 잠금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결재란 수기 서명·일자, 시행본 별도 보관</w:t>
            </w:r>
          </w:p>
        </w:tc>
      </w:tr>
      <w:tr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개정 신구대비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redline 첨부 강제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신구 대비표 수기 작성·첨부</w:t>
            </w:r>
          </w:p>
        </w:tc>
      </w:tr>
      <w:tr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이전본 폐기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개정 발효 시 자동 폐기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별첨 2 대장으로 회수·폐기 표기</w:t>
            </w:r>
          </w:p>
        </w:tc>
      </w:tr>
      <w:tr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배포·회수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접근 권한으로 현행본 열람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인쇄본은 별첨 2 배포·회수 대장 유지</w:t>
            </w:r>
          </w:p>
        </w:tc>
      </w:tr>
      <w:tr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주기검토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도래 문서 목록·연장 이력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마스터리스트 차기검토일 열로 추적</w:t>
            </w:r>
          </w:p>
        </w:tc>
      </w:tr>
      <w:tr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외부규정 최신판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규제 조회 보조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별첨 3 대장 + 주기적 law.go.kr/mfds.go.kr 확인</w:t>
            </w:r>
          </w:p>
        </w:tc>
      </w:tr>
      <w:tr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감사추적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전 이력 자동·변경불가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문서 이력란·대장으로 수기 기록</w:t>
            </w:r>
          </w:p>
        </w:tc>
      </w:tr>
    </w:tbl>
    <w:p>
      <w:pPr>
        <w:spacing w:after="40"/>
      </w:pP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8. 기록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문서 마스터리스트(별첨 1)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문서 배포·회수 대장(별첨 2)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외부출처문서·규정 관리대장(별첨 3)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문서 제·개정·폐기 신청서(별첨 4) 및 결재 기록, 신구 대비</w:t>
      </w: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9. 별첨(양식)</w:t>
      </w: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별첨 1 — 문서 마스터리스트 (FRM-QMS-002)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6DBE3"/>
          <w:left w:val="single" w:sz="4" w:color="D6DBE3"/>
          <w:bottom w:val="single" w:sz="4" w:color="D6DBE3"/>
          <w:right w:val="single" w:sz="4" w:color="D6DBE3"/>
          <w:insideH w:val="single" w:sz="4" w:color="D6DBE3"/>
          <w:insideV w:val="single" w:sz="4" w:color="D6DBE3"/>
        </w:tblBorders>
      </w:tblPr>
      <w:tblGrid>
        <w:gridCol w:w="1046"/>
        <w:gridCol w:w="1046"/>
        <w:gridCol w:w="1046"/>
        <w:gridCol w:w="1046"/>
        <w:gridCol w:w="1046"/>
        <w:gridCol w:w="1046"/>
        <w:gridCol w:w="1046"/>
        <w:gridCol w:w="1046"/>
        <w:gridCol w:w="1046"/>
      </w:tblGrid>
      <w:tr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문서번호</w:t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문서명</w:t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등급</w:t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현행 리비전</w:t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상태</w:t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시행일</w:t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차기 검토일</w:t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담당</w:t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비고</w:t>
            </w:r>
          </w:p>
        </w:tc>
      </w:tr>
      <w:tr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SOP-QMS-001</w:t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문서관리 절차서</w:t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SOP</w:t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A</w:t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시행</w:t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/>
      </w:pP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별첨 2 — 문서 배포·회수 대장 (FRM-QMS-003)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6DBE3"/>
          <w:left w:val="single" w:sz="4" w:color="D6DBE3"/>
          <w:bottom w:val="single" w:sz="4" w:color="D6DBE3"/>
          <w:right w:val="single" w:sz="4" w:color="D6DBE3"/>
          <w:insideH w:val="single" w:sz="4" w:color="D6DBE3"/>
          <w:insideV w:val="single" w:sz="4" w:color="D6DBE3"/>
        </w:tblBorders>
      </w:tblPr>
      <w:tblGrid>
        <w:gridCol w:w="1176"/>
        <w:gridCol w:w="1176"/>
        <w:gridCol w:w="1176"/>
        <w:gridCol w:w="1176"/>
        <w:gridCol w:w="1176"/>
        <w:gridCol w:w="1176"/>
        <w:gridCol w:w="1176"/>
        <w:gridCol w:w="1176"/>
      </w:tblGrid>
      <w:tr>
        <w:tc>
          <w:tcPr>
            <w:tcW w:type="dxa" w:w="117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문서번호</w:t>
            </w:r>
          </w:p>
        </w:tc>
        <w:tc>
          <w:tcPr>
            <w:tcW w:type="dxa" w:w="117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리비전</w:t>
            </w:r>
          </w:p>
        </w:tc>
        <w:tc>
          <w:tcPr>
            <w:tcW w:type="dxa" w:w="117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배포처(사용지점)</w:t>
            </w:r>
          </w:p>
        </w:tc>
        <w:tc>
          <w:tcPr>
            <w:tcW w:type="dxa" w:w="117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배포일</w:t>
            </w:r>
          </w:p>
        </w:tc>
        <w:tc>
          <w:tcPr>
            <w:tcW w:type="dxa" w:w="117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배포 부수</w:t>
            </w:r>
          </w:p>
        </w:tc>
        <w:tc>
          <w:tcPr>
            <w:tcW w:type="dxa" w:w="117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회수일</w:t>
            </w:r>
          </w:p>
        </w:tc>
        <w:tc>
          <w:tcPr>
            <w:tcW w:type="dxa" w:w="117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회수/폐기 확인</w:t>
            </w:r>
          </w:p>
        </w:tc>
        <w:tc>
          <w:tcPr>
            <w:tcW w:type="dxa" w:w="117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담당</w:t>
            </w:r>
          </w:p>
        </w:tc>
      </w:tr>
    </w:tbl>
    <w:p>
      <w:pPr>
        <w:spacing w:after="40"/>
      </w:pP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별첨 3 — 외부출처문서·규정 관리대장 (FRM-QMS-008)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6DBE3"/>
          <w:left w:val="single" w:sz="4" w:color="D6DBE3"/>
          <w:bottom w:val="single" w:sz="4" w:color="D6DBE3"/>
          <w:right w:val="single" w:sz="4" w:color="D6DBE3"/>
          <w:insideH w:val="single" w:sz="4" w:color="D6DBE3"/>
          <w:insideV w:val="single" w:sz="4" w:color="D6DBE3"/>
        </w:tblBorders>
      </w:tblPr>
      <w:tblGrid>
        <w:gridCol w:w="1046"/>
        <w:gridCol w:w="1046"/>
        <w:gridCol w:w="1046"/>
        <w:gridCol w:w="1046"/>
        <w:gridCol w:w="1046"/>
        <w:gridCol w:w="1046"/>
        <w:gridCol w:w="1046"/>
        <w:gridCol w:w="1046"/>
        <w:gridCol w:w="1046"/>
      </w:tblGrid>
      <w:tr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구분(법령/고시/규격)</w:t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문서·규정명</w:t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발행기관</w:t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문서/고시번호</w:t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현행판(개정일)</w:t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입수처(URL)</w:t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최신판 확인일</w:t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확인주기</w:t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담당</w:t>
            </w:r>
          </w:p>
        </w:tc>
      </w:tr>
      <w:tr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고시</w:t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의료기기 제조 및 품질관리 기준(KGMP)</w:t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식약처</w:t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law.go.kr</w:t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분기</w:t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법률</w:t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의료기기법·시행규칙</w:t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식약처</w:t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law.go.kr</w:t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분기</w:t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규격</w:t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(예: ISO 13485)</w:t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(발행처)</w:t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연 1회</w:t>
            </w:r>
          </w:p>
        </w:tc>
        <w:tc>
          <w:tcPr>
            <w:tcW w:type="dxa" w:w="104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/>
      </w:pP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별첨 4 — 문서 제·개정·폐기 신청서 (FRM-QMS-001)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6DBE3"/>
          <w:left w:val="single" w:sz="4" w:color="D6DBE3"/>
          <w:bottom w:val="single" w:sz="4" w:color="D6DBE3"/>
          <w:right w:val="single" w:sz="4" w:color="D6DBE3"/>
          <w:insideH w:val="single" w:sz="4" w:color="D6DBE3"/>
          <w:insideV w:val="single" w:sz="4" w:color="D6DBE3"/>
        </w:tblBorders>
      </w:tblPr>
      <w:tblGrid>
        <w:gridCol w:w="4706"/>
        <w:gridCol w:w="4706"/>
      </w:tblGrid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항목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내용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신청 구분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□ 신규  □ 개정  □ 폐기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대상 문서번호 / 명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(개정 시) 변경 사유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(개정 시) 신구 대비 첨부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□ 첨부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시행(희망)일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작성 / 검토 / 승인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(성명·서명·일자)</w:t>
            </w:r>
          </w:p>
        </w:tc>
      </w:tr>
    </w:tbl>
    <w:p>
      <w:pPr>
        <w:spacing w:after="40"/>
      </w:pP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10. 개정 이력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6DBE3"/>
          <w:left w:val="single" w:sz="4" w:color="D6DBE3"/>
          <w:bottom w:val="single" w:sz="4" w:color="D6DBE3"/>
          <w:right w:val="single" w:sz="4" w:color="D6DBE3"/>
          <w:insideH w:val="single" w:sz="4" w:color="D6DBE3"/>
          <w:insideV w:val="single" w:sz="4" w:color="D6DBE3"/>
        </w:tblBorders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리비전</w:t>
            </w:r>
          </w:p>
        </w:tc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일자</w:t>
            </w:r>
          </w:p>
        </w:tc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변경 내용</w:t>
            </w:r>
          </w:p>
        </w:tc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작성</w:t>
            </w:r>
          </w:p>
        </w:tc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승인</w:t>
            </w:r>
          </w:p>
        </w:tc>
      </w:tr>
      <w:tr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A</w:t>
            </w:r>
          </w:p>
        </w:tc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(발효일)</w:t>
            </w:r>
          </w:p>
        </w:tc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최초 제정</w:t>
            </w:r>
          </w:p>
        </w:tc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/>
      </w:pPr>
    </w:p>
    <w:p>
      <w:pPr>
        <w:spacing w:before="40" w:after="40"/>
        <w:pBdr>
          <w:bottom w:val="single" w:sz="4" w:space="1" w:color="D6DBE3"/>
        </w:pBdr>
      </w:pPr>
    </w:p>
    <w:p>
      <w:r>
        <w:rPr>
          <w:rFonts w:ascii="맑은 고딕" w:hAnsi="맑은 고딕" w:eastAsia="맑은 고딕"/>
          <w:b w:val="0"/>
          <w:i/>
          <w:color w:val="64748B"/>
          <w:sz w:val="19"/>
        </w:rPr>
        <w:t>본 절차서는 즉시 사용 가능하도록 구성되었습니다. 문서관리는 발번·현행본 식별·배포·개정·폐기·주기검토가 하나의 통제된 흐름으로 이어지고, 외부규정의 최신판까지 추적될 때 비로소 완결됩니다.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40"/>
      <w:jc w:val="center"/>
      <w:pBdr>
        <w:top w:val="single" w:sz="4" w:space="3" w:color="D6DBE3"/>
      </w:pBdr>
    </w:pPr>
    <w:r>
      <w:rPr>
        <w:rFonts w:ascii="맑은 고딕" w:hAnsi="맑은 고딕" w:eastAsia="맑은 고딕"/>
        <w:b w:val="0"/>
        <w:i w:val="0"/>
        <w:color w:val="64748B"/>
        <w:sz w:val="16"/>
      </w:rPr>
      <w:t xml:space="preserve">SOP-QMS-001    ·    Rev. A    ·    </w:t>
    </w:r>
    <w:r>
      <w:rPr>
        <w:rFonts w:ascii="맑은 고딕" w:hAnsi="맑은 고딕" w:eastAsia="맑은 고딕"/>
        <w:b w:val="0"/>
        <w:i w:val="0"/>
        <w:color w:val="64748B"/>
        <w:sz w:val="16"/>
      </w:rPr>
      <w:t xml:space="preserve">Page </w:t>
    </w:r>
    <w:r>
      <w:rPr>
        <w:rFonts w:ascii="맑은 고딕" w:hAnsi="맑은 고딕" w:eastAsia="맑은 고딕"/>
        <w:b w:val="0"/>
        <w:i w:val="0"/>
        <w:color w:val="64748B"/>
        <w:sz w:val="16"/>
      </w:rPr>
      <w:fldChar w:fldCharType="begin"/>
    </w:r>
    <w:r>
      <w:rPr>
        <w:rFonts w:ascii="맑은 고딕" w:hAnsi="맑은 고딕" w:eastAsia="맑은 고딕"/>
        <w:b w:val="0"/>
        <w:i w:val="0"/>
        <w:color w:val="64748B"/>
        <w:sz w:val="16"/>
      </w:rPr>
      <w:instrText xml:space="preserve"> PAGE </w:instrText>
    </w:r>
    <w:r>
      <w:rPr>
        <w:rFonts w:ascii="맑은 고딕" w:hAnsi="맑은 고딕" w:eastAsia="맑은 고딕"/>
        <w:b w:val="0"/>
        <w:i w:val="0"/>
        <w:color w:val="64748B"/>
        <w:sz w:val="16"/>
      </w:rPr>
      <w:fldChar w:fldCharType="end"/>
    </w:r>
    <w:r>
      <w:rPr>
        <w:rFonts w:ascii="맑은 고딕" w:hAnsi="맑은 고딕" w:eastAsia="맑은 고딕"/>
        <w:b w:val="0"/>
        <w:i w:val="0"/>
        <w:color w:val="64748B"/>
        <w:sz w:val="16"/>
      </w:rPr>
      <w:t xml:space="preserve"> of </w:t>
    </w:r>
    <w:r>
      <w:rPr>
        <w:rFonts w:ascii="맑은 고딕" w:hAnsi="맑은 고딕" w:eastAsia="맑은 고딕"/>
        <w:b w:val="0"/>
        <w:i w:val="0"/>
        <w:color w:val="64748B"/>
        <w:sz w:val="16"/>
      </w:rPr>
      <w:fldChar w:fldCharType="begin"/>
    </w:r>
    <w:r>
      <w:rPr>
        <w:rFonts w:ascii="맑은 고딕" w:hAnsi="맑은 고딕" w:eastAsia="맑은 고딕"/>
        <w:b w:val="0"/>
        <w:i w:val="0"/>
        <w:color w:val="64748B"/>
        <w:sz w:val="16"/>
      </w:rPr>
      <w:instrText xml:space="preserve"> NUMPAGES </w:instrText>
    </w:r>
    <w:r>
      <w:rPr>
        <w:rFonts w:ascii="맑은 고딕" w:hAnsi="맑은 고딕" w:eastAsia="맑은 고딕"/>
        <w:b w:val="0"/>
        <w:i w:val="0"/>
        <w:color w:val="64748B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40"/>
      <w:jc w:val="right"/>
      <w:pBdr>
        <w:bottom w:val="single" w:sz="4" w:space="2" w:color="D6DBE3"/>
      </w:pBdr>
    </w:pPr>
    <w:r>
      <w:rPr>
        <w:rFonts w:ascii="맑은 고딕" w:hAnsi="맑은 고딕" w:eastAsia="맑은 고딕"/>
        <w:b w:val="0"/>
        <w:i w:val="0"/>
        <w:color w:val="64748B"/>
        <w:sz w:val="16"/>
      </w:rPr>
      <w:t>문서관리 절차서 (Document Control Procedure)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맑은 고딕" w:hAnsi="맑은 고딕" w:eastAsia="맑은 고딕"/>
      <w:color w:val="1F29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