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맑은 고딕" w:hAnsi="맑은 고딕" w:eastAsia="맑은 고딕"/>
          <w:b/>
          <w:i w:val="0"/>
          <w:color w:val="64748B"/>
          <w:sz w:val="17"/>
          <w:spacing w:val="60"/>
        </w:rPr>
        <w:t>STANDARD OPERATING PROCEDURE</w:t>
      </w:r>
    </w:p>
    <w:p>
      <w:pPr>
        <w:spacing w:after="120"/>
        <w:pBdr>
          <w:bottom w:val="single" w:sz="18" w:space="6" w:color="0A1F44"/>
        </w:pBdr>
      </w:pPr>
      <w:r>
        <w:rPr>
          <w:rFonts w:ascii="맑은 고딕" w:hAnsi="맑은 고딕" w:eastAsia="맑은 고딕"/>
          <w:b/>
          <w:i w:val="0"/>
          <w:color w:val="0A1F44"/>
          <w:sz w:val="40"/>
        </w:rPr>
        <w:t>변경관리(QCN) 절차서 (Change Control Procedure)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4706"/>
        <w:gridCol w:w="4706"/>
      </w:tblGrid>
      <w:tr>
        <w:tc>
          <w:tcPr>
            <w:tcW w:type="dxa" w:w="2608"/>
            <w:shd w:val="clear" w:fill="EAEEF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8"/>
              </w:rPr>
              <w:t>문서번호</w:t>
            </w:r>
          </w:p>
        </w:tc>
        <w:tc>
          <w:tcPr>
            <w:tcW w:type="dxa" w:w="680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SOP-QMS-003</w:t>
            </w:r>
          </w:p>
        </w:tc>
      </w:tr>
      <w:tr>
        <w:tc>
          <w:tcPr>
            <w:tcW w:type="dxa" w:w="2608"/>
            <w:shd w:val="clear" w:fill="EAEEF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8"/>
              </w:rPr>
              <w:t>리비전</w:t>
            </w:r>
          </w:p>
        </w:tc>
        <w:tc>
          <w:tcPr>
            <w:tcW w:type="dxa" w:w="680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A</w:t>
            </w:r>
          </w:p>
        </w:tc>
      </w:tr>
      <w:tr>
        <w:tc>
          <w:tcPr>
            <w:tcW w:type="dxa" w:w="2608"/>
            <w:shd w:val="clear" w:fill="EAEEF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8"/>
              </w:rPr>
              <w:t>유효일자</w:t>
            </w:r>
          </w:p>
        </w:tc>
        <w:tc>
          <w:tcPr>
            <w:tcW w:type="dxa" w:w="680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(발효 결재일)</w:t>
            </w:r>
          </w:p>
        </w:tc>
      </w:tr>
      <w:tr>
        <w:tc>
          <w:tcPr>
            <w:tcW w:type="dxa" w:w="2608"/>
            <w:shd w:val="clear" w:fill="EAEEF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8"/>
              </w:rPr>
              <w:t>작성 / 검토 / 승인</w:t>
            </w:r>
          </w:p>
        </w:tc>
        <w:tc>
          <w:tcPr>
            <w:tcW w:type="dxa" w:w="680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(성명·서명·일자)</w:t>
            </w:r>
          </w:p>
        </w:tc>
      </w:tr>
      <w:tr>
        <w:tc>
          <w:tcPr>
            <w:tcW w:type="dxa" w:w="2608"/>
            <w:shd w:val="clear" w:fill="EAEEF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8"/>
              </w:rPr>
              <w:t>적용 조직</w:t>
            </w:r>
          </w:p>
        </w:tc>
        <w:tc>
          <w:tcPr>
            <w:tcW w:type="dxa" w:w="680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{회사명}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  <w:shd w:val="clear" w:fill="F2F5FA"/>
            <w:tcBorders>
              <w:left w:val="single" w:sz="18" w:space="0" w:color="0A1F44"/>
            </w:tcBorders>
            <w:tcMar>
              <w:top w:w="80" w:type="dxa"/>
              <w:bottom w:w="80" w:type="dxa"/>
              <w:start w:w="140" w:type="dxa"/>
              <w:end w:w="120" w:type="dxa"/>
            </w:tcMar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/>
                <w:color w:val="0A1F44"/>
                <w:sz w:val="19"/>
              </w:rPr>
              <w:t>조정 안내(최소)</w:t>
            </w: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 xml:space="preserve"> — `{회사명}`·역할명을 치환하고, 변경 통제 대상 범위(문서만 통제할지, 프로세스·설비·공급자 변경까지 포함할지)를 자사 실정에 맞게 정한 뒤 발효하십시오.</w:t>
            </w:r>
          </w:p>
        </w:tc>
      </w:tr>
    </w:tbl>
    <w:p>
      <w:pPr>
        <w:spacing w:after="40"/>
      </w:pPr>
    </w:p>
    <w:p>
      <w:pPr>
        <w:spacing w:before="40" w:after="40"/>
        <w:pBdr>
          <w:bottom w:val="single" w:sz="4" w:space="1" w:color="D6DBE3"/>
        </w:pBdr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1. 목적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본 절차서는 품질경영시스템 문서 및 관련 요소의 변경을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결재로 통제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하여, 무단·미검증 변경을 방지하고 변경의 사유·영향·승인·시행이 추적되도록 함을 목적으로 한다.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2. 적용범위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발효된 QMS 문서의 신규 제정·개정·폐기에 적용한다. 회사가 정하는 바에 따라 프로세스·설비·공급자 변경으로 확장할 수 있다. 문서 자체의 관리 원칙은 「문서관리 절차서(SOP-QMS-001)」를, 기록 작성은 「기록관리 절차서(SOP-QMS-002)」의 GDP를 따른다.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3. 용어의 정의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4706"/>
        <w:gridCol w:w="4706"/>
      </w:tblGrid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용어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정의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변경(QCN)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문서·요소의 변경을 결재로 통제하는 단위. 하나의 변경에 여러 문서 라인을 담을 수 있다.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신규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새 문서를 제정하는 변경 라인.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개정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발효(시행) 문서의 내용을 변경하는 라인. 신구 대비(redline) 첨부가 필수.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폐기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발효 문서의 효력을 상실시키는 라인.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신구 대비(Redline)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개정 전·후 차이를 표시한 대비 문서.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시행일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변경이 효력을 갖기 시작하는 날. 미지정 시 승인 시점으로 한다.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소급 시행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결재일보다 이른 시행일을 지정하는 것.</w:t>
            </w:r>
          </w:p>
        </w:tc>
      </w:tr>
    </w:tbl>
    <w:p>
      <w:pPr>
        <w:spacing w:after="40"/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4. 책임과 권한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4706"/>
        <w:gridCol w:w="4706"/>
      </w:tblGrid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역할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책임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변경 요청자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변경 사유·내용·영향 기술, 신규/개정/폐기 라인 구성, 신구 대비 작성.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검토자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변경의 타당성, 연쇄 영향, 타 문서 정합성 검토.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승인자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변경 승인. 승인으로써 시행·폐기가 실행된다.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변경관리 책임자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변경 번호 부여, 절차 준수 확인, 변경 이력 유지.</w:t>
            </w:r>
          </w:p>
        </w:tc>
      </w:tr>
    </w:tbl>
    <w:p>
      <w:pPr>
        <w:spacing w:after="40"/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5. 관련 규정 및 참고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「의료기기 제조 및 품질관리 기준」(KGMP)[별표1] 4.2.4 — 문서 변경 및 최신 개정 상태의 식별, 변경 시 재검토·재승인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ISO 13485:2016 — 4.2.4 문서관리(변경 통제), 7.3.9 설계개발 변경(연쇄 영향 검토 사고 준용)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사내: 문서관리 절차서(SOP-QMS-001), 기록관리 절차서(SOP-QMS-002, GDP)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6. 절차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6.1 변경 요청·개시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변경 요청자는 변경의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사유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·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내용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·예상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영향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을 기술하여 변경(QCN)을 개시한다(별첨 1). 변경 번호는 규칙에 따라 유일하게 부여한다.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6.2 변경 유형(라인) 구성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하나의 변경에 다음 라인을 조합한다.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신규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— 문서명·유형·원본 파일(필수)을 입력해 새 문서를 제정한다.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개정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—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시행(발효) 문서만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대상으로 선택할 수 있다.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신구 대비(redline) 1건 이상 첨부가 필수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이다.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폐기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— 시행 문서를 폐기한다. 원본 파일은 올리지 않으며 폐기 근거를 첨부한다.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*실록: 개정 라인은 redline 파일명에 'redline'이 포함되어야 상신할 수 있고, 대상은 시행 문서로 제한된다. (§7)*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6.3 영향 평가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변경이 참조·연계된 다른 문서(상·하위 SOP·양식)와 프로세스에 미치는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연쇄 영향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을 평가한다(별첨 2). 함께 개정해야 할 문서가 있으면 같은 변경에 라인으로 포함하고, 검증·유효성 확인의 필요 여부를 판단한다.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6.4 검토·승인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구성된 변경은 검토자 → 승인자 순으로 결재한다.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결재중(상신된) 변경은 편집이 잠긴다.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각 결재 단계는 성명·서명(전자서명)·일자와 함께 기록된다. 반려 시 보완 후 재상신한다.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*실록: 상신 시 QCN·대상 문서가 결재중으로 자동 잠기며, 전자결재·전자서명으로 기록된다. (§7)*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6.5 시행·폐기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최종 승인 시 신규·개정 문서는 시행(발효)되고, 개정 시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이전 리비전과 폐기 라인의 대상 문서는 폐기 처리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시행일을 지정하지 않으면 승인 시점을 시행일로 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소급 시행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(결재일보다 이른 시행일)은 지양한다. 불가피한 경우 결재 라인의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서면 합의 증빙 1건 이상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을 첨부해야 상신할 수 있다.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*실록: 승인 시 신규·개정 자동 발효 + 이전본·폐기대상 자동 폐기. 소급 시행일 지정 시 서면 합의 증빙 없이는 상신 차단. (§7)*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6.6 개정 신구 대비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개정 라인은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무엇이 왜 바뀌었는지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신구 대비(redline)로 남긴다. 결과물(새 버전)만이 아니라 차이가 증명되어야 변경 통제가 성립한다.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6.7 변경 이력·추적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모든 변경의 사유·내용·신구 대비·결재·시행/폐기 결과는 이력으로 보존되며, 변경 불가한 방식으로 추적 가능해야 한다(감사추적).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7. 시스템 자동 처리와 수작업 구분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3137"/>
        <w:gridCol w:w="3137"/>
        <w:gridCol w:w="3137"/>
      </w:tblGrid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요건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실록 사용 시(자동)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시스템 미사용(수작업)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변경 사유·영향 기록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QCN에 구조화 기록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별첨 1 변경신청서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개정 대상 제한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시행 문서만 선택 가능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마스터리스트로 현행본 확인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신구 대비 강제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redline 첨부(파일명 규칙) 강제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신구 대비표 수기 작성·첨부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연쇄 영향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한 변경에 여러 문서 라인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별첨 2 영향평가표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결재·잠금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결재중 자동 잠금·전자서명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결재란 수기 서명·시행본 보관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시행/폐기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승인 시 발효+이전본 자동 폐기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배포·회수 대장으로 회수·폐기 표기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소급 통제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소급 시 서면합의 증빙 강제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서면 합의 증빙 수기 첨부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변경 이력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변경불가 감사추적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변경 이력란 수기</w:t>
            </w:r>
          </w:p>
        </w:tc>
      </w:tr>
    </w:tbl>
    <w:p>
      <w:pPr>
        <w:spacing w:after="40"/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8. 기록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변경(QCN) 기록 및 결재 이력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변경 영향 평가표(별첨 2)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신구 대비(redline), 소급 시행 서면 합의 증빙(해당 시)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9. 별첨(양식)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별첨 1 — 변경 요청서(QCN) (FRM-QMS-006)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4706"/>
        <w:gridCol w:w="4706"/>
      </w:tblGrid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항목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내용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변경 번호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(자동/수기 부여)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변경 사유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변경 내용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라인 구성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□ 신규  □ 개정  □ 폐기 (대상 문서번호·명)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신구 대비 첨부(개정)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□ 첨부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시행(희망)일 / 소급 여부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(소급 시 서면합의 증빙 □ 첨부)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작성 / 검토 / 승인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(성명·서명·일자)</w:t>
            </w:r>
          </w:p>
        </w:tc>
      </w:tr>
    </w:tbl>
    <w:p>
      <w:pPr>
        <w:spacing w:after="40"/>
      </w:pP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별첨 2 — 변경 영향 평가표 (FRM-QMS-007)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1882"/>
        <w:gridCol w:w="1882"/>
        <w:gridCol w:w="1882"/>
        <w:gridCol w:w="1882"/>
        <w:gridCol w:w="1882"/>
      </w:tblGrid>
      <w:tr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영향 대상(문서/프로세스/설비/공급자)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영향 내용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함께 개정 필요?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검증·유효성확인 필요?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조치(라인 추가 등)</w:t>
            </w:r>
          </w:p>
        </w:tc>
      </w:tr>
      <w:tr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□ 예 □ 아니오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□ 예 □ 아니오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10. 개정 이력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1882"/>
        <w:gridCol w:w="1882"/>
        <w:gridCol w:w="1882"/>
        <w:gridCol w:w="1882"/>
        <w:gridCol w:w="1882"/>
      </w:tblGrid>
      <w:tr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리비전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일자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변경 내용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작성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승인</w:t>
            </w:r>
          </w:p>
        </w:tc>
      </w:tr>
      <w:tr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A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(발효일)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최초 제정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</w:tr>
    </w:tbl>
    <w:p>
      <w:pPr>
        <w:spacing w:after="40"/>
      </w:pPr>
    </w:p>
    <w:p>
      <w:pPr>
        <w:spacing w:before="40" w:after="40"/>
        <w:pBdr>
          <w:bottom w:val="single" w:sz="4" w:space="1" w:color="D6DBE3"/>
        </w:pBdr>
      </w:pPr>
    </w:p>
    <w:p>
      <w:r>
        <w:rPr>
          <w:rFonts w:ascii="맑은 고딕" w:hAnsi="맑은 고딕" w:eastAsia="맑은 고딕"/>
          <w:b w:val="0"/>
          <w:i/>
          <w:color w:val="64748B"/>
          <w:sz w:val="19"/>
        </w:rPr>
        <w:t>본 절차서는 즉시 사용 가능하도록 구성되었습니다. 변경은 빠르게 해도 됩니다 — 다만 통제 안에서 빠르게 해야 합니다. 사유·영향·신구 대비·승인이 남지 않은 변경은, 아무리 옳아도 방어되지 않습니다.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center"/>
      <w:pBdr>
        <w:top w:val="single" w:sz="4" w:space="3" w:color="D6DBE3"/>
      </w:pBdr>
    </w:pPr>
    <w:r>
      <w:rPr>
        <w:rFonts w:ascii="맑은 고딕" w:hAnsi="맑은 고딕" w:eastAsia="맑은 고딕"/>
        <w:b w:val="0"/>
        <w:i w:val="0"/>
        <w:color w:val="64748B"/>
        <w:sz w:val="16"/>
      </w:rPr>
      <w:t xml:space="preserve">SOP-QMS-003    ·    Rev. A    ·    </w:t>
    </w:r>
    <w:r>
      <w:rPr>
        <w:rFonts w:ascii="맑은 고딕" w:hAnsi="맑은 고딕" w:eastAsia="맑은 고딕"/>
        <w:b w:val="0"/>
        <w:i w:val="0"/>
        <w:color w:val="64748B"/>
        <w:sz w:val="16"/>
      </w:rPr>
      <w:t xml:space="preserve">Page </w: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begin"/>
    </w:r>
    <w:r>
      <w:rPr>
        <w:rFonts w:ascii="맑은 고딕" w:hAnsi="맑은 고딕" w:eastAsia="맑은 고딕"/>
        <w:b w:val="0"/>
        <w:i w:val="0"/>
        <w:color w:val="64748B"/>
        <w:sz w:val="16"/>
      </w:rPr>
      <w:instrText xml:space="preserve"> PAGE </w:instrTex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end"/>
    </w:r>
    <w:r>
      <w:rPr>
        <w:rFonts w:ascii="맑은 고딕" w:hAnsi="맑은 고딕" w:eastAsia="맑은 고딕"/>
        <w:b w:val="0"/>
        <w:i w:val="0"/>
        <w:color w:val="64748B"/>
        <w:sz w:val="16"/>
      </w:rPr>
      <w:t xml:space="preserve"> of </w: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begin"/>
    </w:r>
    <w:r>
      <w:rPr>
        <w:rFonts w:ascii="맑은 고딕" w:hAnsi="맑은 고딕" w:eastAsia="맑은 고딕"/>
        <w:b w:val="0"/>
        <w:i w:val="0"/>
        <w:color w:val="64748B"/>
        <w:sz w:val="16"/>
      </w:rPr>
      <w:instrText xml:space="preserve"> NUMPAGES </w:instrTex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right"/>
      <w:pBdr>
        <w:bottom w:val="single" w:sz="4" w:space="2" w:color="D6DBE3"/>
      </w:pBdr>
    </w:pPr>
    <w:r>
      <w:rPr>
        <w:rFonts w:ascii="맑은 고딕" w:hAnsi="맑은 고딕" w:eastAsia="맑은 고딕"/>
        <w:b w:val="0"/>
        <w:i w:val="0"/>
        <w:color w:val="64748B"/>
        <w:sz w:val="16"/>
      </w:rPr>
      <w:t>변경관리(QCN) 절차서 (Change Control Procedure)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20"/>
    </w:pPr>
    <w:rPr>
      <w:rFonts w:ascii="맑은 고딕" w:hAnsi="맑은 고딕" w:eastAsia="맑은 고딕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